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AAC6406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C5D03">
        <w:rPr>
          <w:rFonts w:ascii="Source Serif Pro" w:hAnsi="Source Serif Pro" w:cs="Arial"/>
          <w:b/>
          <w:bCs/>
          <w:sz w:val="20"/>
          <w:szCs w:val="20"/>
        </w:rPr>
        <w:t>989</w:t>
      </w:r>
      <w:r w:rsidR="00C812FD">
        <w:rPr>
          <w:rFonts w:ascii="Source Serif Pro" w:hAnsi="Source Serif Pro" w:cs="Arial"/>
          <w:b/>
          <w:bCs/>
          <w:sz w:val="20"/>
          <w:szCs w:val="20"/>
        </w:rPr>
        <w:t>1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6EC2" w14:textId="77777777" w:rsidR="00BE3603" w:rsidRDefault="00BE3603" w:rsidP="001232C5">
      <w:pPr>
        <w:spacing w:line="240" w:lineRule="auto"/>
      </w:pPr>
      <w:r>
        <w:separator/>
      </w:r>
    </w:p>
  </w:endnote>
  <w:endnote w:type="continuationSeparator" w:id="0">
    <w:p w14:paraId="3F1D6C53" w14:textId="77777777" w:rsidR="00BE3603" w:rsidRDefault="00BE3603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1DDE" w14:textId="77777777" w:rsidR="00BE3603" w:rsidRDefault="00BE3603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CE0E008" w14:textId="77777777" w:rsidR="00BE3603" w:rsidRDefault="00BE3603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8456E"/>
    <w:rsid w:val="00094ADE"/>
    <w:rsid w:val="000D1BE1"/>
    <w:rsid w:val="000D6197"/>
    <w:rsid w:val="000D67E1"/>
    <w:rsid w:val="000E11E6"/>
    <w:rsid w:val="001232C5"/>
    <w:rsid w:val="00132B04"/>
    <w:rsid w:val="00155C66"/>
    <w:rsid w:val="001B27C7"/>
    <w:rsid w:val="00204B58"/>
    <w:rsid w:val="00232F5F"/>
    <w:rsid w:val="00234E9D"/>
    <w:rsid w:val="0023658F"/>
    <w:rsid w:val="00251115"/>
    <w:rsid w:val="0025365B"/>
    <w:rsid w:val="002859A4"/>
    <w:rsid w:val="002A0B4B"/>
    <w:rsid w:val="002B4C61"/>
    <w:rsid w:val="002D43CA"/>
    <w:rsid w:val="00322C56"/>
    <w:rsid w:val="004B4292"/>
    <w:rsid w:val="004D4A6B"/>
    <w:rsid w:val="00506BBC"/>
    <w:rsid w:val="005308DB"/>
    <w:rsid w:val="00571342"/>
    <w:rsid w:val="005845CA"/>
    <w:rsid w:val="005B07EE"/>
    <w:rsid w:val="00656D2B"/>
    <w:rsid w:val="00682C55"/>
    <w:rsid w:val="0069208A"/>
    <w:rsid w:val="00756860"/>
    <w:rsid w:val="007C5D03"/>
    <w:rsid w:val="0087514B"/>
    <w:rsid w:val="00890A53"/>
    <w:rsid w:val="008933F9"/>
    <w:rsid w:val="008A29BE"/>
    <w:rsid w:val="008D13B4"/>
    <w:rsid w:val="00904D40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1BB1"/>
    <w:rsid w:val="00AB3042"/>
    <w:rsid w:val="00AC6303"/>
    <w:rsid w:val="00B04E2D"/>
    <w:rsid w:val="00B44514"/>
    <w:rsid w:val="00BB7CB2"/>
    <w:rsid w:val="00BE3603"/>
    <w:rsid w:val="00C15B24"/>
    <w:rsid w:val="00C17140"/>
    <w:rsid w:val="00C44C73"/>
    <w:rsid w:val="00C812FD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405</Words>
  <Characters>2657</Characters>
  <Application>Microsoft Office Word</Application>
  <DocSecurity>0</DocSecurity>
  <Lines>78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22</cp:revision>
  <cp:lastPrinted>2026-01-07T13:48:00Z</cp:lastPrinted>
  <dcterms:created xsi:type="dcterms:W3CDTF">2025-05-20T06:33:00Z</dcterms:created>
  <dcterms:modified xsi:type="dcterms:W3CDTF">2026-01-09T09:14:00Z</dcterms:modified>
</cp:coreProperties>
</file>