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72C64F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51C9B">
        <w:rPr>
          <w:rFonts w:ascii="Source Serif Pro" w:hAnsi="Source Serif Pro" w:cs="Times New Roman"/>
          <w:i/>
          <w:sz w:val="20"/>
          <w:szCs w:val="20"/>
        </w:rPr>
        <w:t>ATZ_MK_1M19_2023_EL_9019_2023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D45251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51C9B">
        <w:rPr>
          <w:rFonts w:ascii="Source Serif Pro" w:hAnsi="Source Serif Pro" w:cs="Times New Roman"/>
          <w:i/>
          <w:sz w:val="20"/>
          <w:szCs w:val="20"/>
        </w:rPr>
        <w:t>ATZ_MK_1M19_2023_EL_9019_2023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EC7CB27" w:rsidR="009C0DC5" w:rsidRPr="00251C9B" w:rsidRDefault="00251C9B" w:rsidP="00251C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RecombiMAb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anti-mouse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CTLA-4 (CD152), Clone: [9H10-CP146], Mouse, </w:t>
            </w: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Recombinant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100 mg</w:t>
            </w:r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251C9B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251C9B">
              <w:rPr>
                <w:rFonts w:ascii="Source Serif Pro" w:hAnsi="Source Serif Pro"/>
                <w:sz w:val="20"/>
                <w:szCs w:val="20"/>
              </w:rPr>
              <w:t>BXC-CP146-100MG</w:t>
            </w:r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251C9B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2B349208" w:rsidR="00B0772A" w:rsidRPr="00251C9B" w:rsidRDefault="00251C9B" w:rsidP="00251C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InVivoPlus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mouse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IgG1 </w:t>
            </w: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isotype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control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, Clone: [MOPC-21], Mouse, </w:t>
            </w:r>
            <w:proofErr w:type="spellStart"/>
            <w:r w:rsidRPr="00251C9B">
              <w:rPr>
                <w:rFonts w:ascii="Source Serif Pro" w:hAnsi="Source Serif Pro"/>
                <w:sz w:val="20"/>
                <w:szCs w:val="20"/>
              </w:rPr>
              <w:t>Monoclonal</w:t>
            </w:r>
            <w:proofErr w:type="spellEnd"/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100 mg</w:t>
            </w:r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B0772A" w:rsidRPr="00251C9B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251C9B">
              <w:rPr>
                <w:rFonts w:ascii="Source Serif Pro" w:hAnsi="Source Serif Pro"/>
                <w:sz w:val="20"/>
                <w:szCs w:val="20"/>
              </w:rPr>
              <w:t>BXC-BP0083-100MG</w:t>
            </w:r>
            <w:r w:rsidRPr="00251C9B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B0772A" w:rsidRPr="00251C9B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1C22" w14:textId="77777777" w:rsidR="00E91FD3" w:rsidRDefault="00E91FD3" w:rsidP="00AC394C">
      <w:pPr>
        <w:spacing w:after="0" w:line="240" w:lineRule="auto"/>
      </w:pPr>
      <w:r>
        <w:separator/>
      </w:r>
    </w:p>
  </w:endnote>
  <w:endnote w:type="continuationSeparator" w:id="0">
    <w:p w14:paraId="08085D2F" w14:textId="77777777" w:rsidR="00E91FD3" w:rsidRDefault="00E91FD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6886502F" w:rsidR="003B60B3" w:rsidRDefault="00251C9B" w:rsidP="003B60B3">
    <w:pPr>
      <w:pStyle w:val="Stopka"/>
      <w:jc w:val="center"/>
    </w:pPr>
    <w:r>
      <w:rPr>
        <w:noProof/>
      </w:rPr>
      <w:drawing>
        <wp:inline distT="0" distB="0" distL="0" distR="0" wp14:anchorId="03BF197B" wp14:editId="55414791">
          <wp:extent cx="5753100" cy="1257300"/>
          <wp:effectExtent l="0" t="0" r="0" b="0"/>
          <wp:docPr id="459493111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493111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718" w14:textId="77777777" w:rsidR="00E91FD3" w:rsidRDefault="00E91FD3" w:rsidP="00AC394C">
      <w:pPr>
        <w:spacing w:after="0" w:line="240" w:lineRule="auto"/>
      </w:pPr>
      <w:r>
        <w:separator/>
      </w:r>
    </w:p>
  </w:footnote>
  <w:footnote w:type="continuationSeparator" w:id="0">
    <w:p w14:paraId="0258FD0A" w14:textId="77777777" w:rsidR="00E91FD3" w:rsidRDefault="00E91FD3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1C9B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1FD3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2023-06-23T10:04:00Z</cp:lastPrinted>
  <dcterms:created xsi:type="dcterms:W3CDTF">2023-02-17T16:46:00Z</dcterms:created>
  <dcterms:modified xsi:type="dcterms:W3CDTF">2023-09-08T12:55:00Z</dcterms:modified>
</cp:coreProperties>
</file>