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eastAsia="pl-PL"/>
        </w:rPr>
        <w:t>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C63A7">
        <w:rPr>
          <w:rFonts w:ascii="Times New Roman" w:hAnsi="Times New Roman" w:cs="Times New Roman"/>
          <w:i/>
        </w:rPr>
        <w:t>_5638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C63A7">
        <w:rPr>
          <w:rFonts w:ascii="Times New Roman" w:hAnsi="Times New Roman" w:cs="Times New Roman"/>
          <w:i/>
        </w:rPr>
        <w:t>_5638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C63A7" w:rsidRDefault="004C63A7" w:rsidP="00C22B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63A7">
              <w:rPr>
                <w:rFonts w:ascii="Times New Roman" w:hAnsi="Times New Roman" w:cs="Times New Roman"/>
                <w:lang w:val="en-US"/>
              </w:rPr>
              <w:t>EZCell</w:t>
            </w:r>
            <w:proofErr w:type="spellEnd"/>
            <w:r w:rsidRPr="004C63A7">
              <w:rPr>
                <w:rFonts w:ascii="Times New Roman" w:hAnsi="Times New Roman" w:cs="Times New Roman"/>
                <w:lang w:val="en-US"/>
              </w:rPr>
              <w:t xml:space="preserve"> Cell Migration/Chemotaxis Assay Kit (96-well, 8 µm) Size : 100assays / nr katalogowy: K906-100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4F63" w:rsidRPr="004C63A7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C63A7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C63A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96" w:rsidRDefault="00BF1796" w:rsidP="00AC394C">
      <w:pPr>
        <w:spacing w:after="0" w:line="240" w:lineRule="auto"/>
      </w:pPr>
      <w:r>
        <w:separator/>
      </w:r>
    </w:p>
  </w:endnote>
  <w:endnote w:type="continuationSeparator" w:id="0">
    <w:p w:rsidR="00BF1796" w:rsidRDefault="00BF179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96" w:rsidRDefault="00BF1796" w:rsidP="00AC394C">
      <w:pPr>
        <w:spacing w:after="0" w:line="240" w:lineRule="auto"/>
      </w:pPr>
      <w:r>
        <w:separator/>
      </w:r>
    </w:p>
  </w:footnote>
  <w:footnote w:type="continuationSeparator" w:id="0">
    <w:p w:rsidR="00BF1796" w:rsidRDefault="00BF179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C63A7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1796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3A9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2021-02-24T14:39:00Z</cp:lastPrinted>
  <dcterms:created xsi:type="dcterms:W3CDTF">2021-02-12T14:05:00Z</dcterms:created>
  <dcterms:modified xsi:type="dcterms:W3CDTF">2021-05-28T16:12:00Z</dcterms:modified>
</cp:coreProperties>
</file>